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6B" w:rsidRPr="0078377F" w:rsidRDefault="00C0096B" w:rsidP="00C0096B">
      <w:pPr>
        <w:jc w:val="center"/>
        <w:rPr>
          <w:rFonts w:ascii="MS Reference Sans Serif" w:hAnsi="MS Reference Sans Serif"/>
          <w:b/>
          <w:bCs/>
          <w:szCs w:val="20"/>
          <w:lang w:val="en-US"/>
        </w:rPr>
      </w:pPr>
      <w:r w:rsidRPr="0078377F">
        <w:rPr>
          <w:rFonts w:ascii="MS Reference Sans Serif" w:hAnsi="MS Reference Sans Serif"/>
          <w:b/>
          <w:bCs/>
          <w:szCs w:val="20"/>
        </w:rPr>
        <w:t xml:space="preserve">Опросный лист для подбора </w:t>
      </w:r>
      <w:bookmarkStart w:id="0" w:name="_GoBack"/>
      <w:bookmarkEnd w:id="0"/>
      <w:r w:rsidRPr="0078377F">
        <w:rPr>
          <w:rFonts w:ascii="MS Reference Sans Serif" w:hAnsi="MS Reference Sans Serif"/>
          <w:b/>
          <w:bCs/>
          <w:szCs w:val="20"/>
        </w:rPr>
        <w:t xml:space="preserve">мешалок </w:t>
      </w:r>
      <w:r w:rsidRPr="0078377F">
        <w:rPr>
          <w:rFonts w:ascii="MS Reference Sans Serif" w:hAnsi="MS Reference Sans Serif"/>
          <w:b/>
          <w:bCs/>
          <w:szCs w:val="20"/>
          <w:lang w:val="en-US"/>
        </w:rPr>
        <w:t>Flygt</w:t>
      </w:r>
    </w:p>
    <w:p w:rsidR="0078377F" w:rsidRPr="0078377F" w:rsidRDefault="0078377F" w:rsidP="00C0096B">
      <w:pPr>
        <w:jc w:val="center"/>
        <w:rPr>
          <w:rFonts w:ascii="MS Reference Sans Serif" w:hAnsi="MS Reference Sans Serif"/>
          <w:b/>
          <w:bCs/>
          <w:szCs w:val="20"/>
        </w:rPr>
      </w:pPr>
    </w:p>
    <w:p w:rsidR="0078377F" w:rsidRPr="0078377F" w:rsidRDefault="0078377F" w:rsidP="00C0096B">
      <w:pPr>
        <w:jc w:val="center"/>
        <w:rPr>
          <w:rFonts w:ascii="MS Reference Sans Serif" w:hAnsi="MS Reference Sans Serif"/>
          <w:b/>
          <w:bCs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78377F" w:rsidRPr="0078377F" w:rsidTr="0078377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jc w:val="center"/>
              <w:rPr>
                <w:rFonts w:ascii="MS Reference Sans Serif" w:hAnsi="MS Reference Sans Serif"/>
                <w:b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Информация о заказчике и объекте</w:t>
            </w: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  <w:tab w:val="right" w:pos="6915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Контактное лицо</w:t>
            </w:r>
            <w:r w:rsidRPr="0078377F">
              <w:rPr>
                <w:rFonts w:ascii="MS Reference Sans Serif" w:hAnsi="MS Reference Sans Serif"/>
                <w:bCs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Контактные данные (тел., адрес эл. почты)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Адрес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Конечный Потребитель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Наименование проекта/объекта, площадки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78377F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rPr>
                <w:rFonts w:ascii="MS Reference Sans Serif" w:hAnsi="MS Reference Sans Serif"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Cs/>
                <w:szCs w:val="20"/>
              </w:rPr>
              <w:t>Адрес места установки модульной насосной станции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F" w:rsidRPr="0078377F" w:rsidRDefault="0078377F" w:rsidP="000A1F92">
            <w:pPr>
              <w:tabs>
                <w:tab w:val="num" w:pos="720"/>
              </w:tabs>
              <w:rPr>
                <w:rFonts w:ascii="MS Reference Sans Serif" w:hAnsi="MS Reference Sans Serif"/>
                <w:bCs/>
                <w:szCs w:val="20"/>
              </w:rPr>
            </w:pPr>
          </w:p>
        </w:tc>
      </w:tr>
      <w:tr w:rsidR="0078377F" w:rsidRPr="0078377F" w:rsidTr="000A1F9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377F" w:rsidRPr="0078377F" w:rsidRDefault="0078377F" w:rsidP="000A1F92">
            <w:pPr>
              <w:tabs>
                <w:tab w:val="num" w:pos="720"/>
              </w:tabs>
              <w:ind w:left="30"/>
              <w:jc w:val="center"/>
              <w:rPr>
                <w:rFonts w:ascii="MS Reference Sans Serif" w:hAnsi="MS Reference Sans Serif"/>
                <w:b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 xml:space="preserve">Технические условия 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C0096B" w:rsidRPr="0078377F" w:rsidRDefault="00C0096B" w:rsidP="00232168">
            <w:pPr>
              <w:pStyle w:val="1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Область применения мешалки</w:t>
            </w:r>
          </w:p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 xml:space="preserve">(аэробная, анаэробная, очистка сточных вод, </w:t>
            </w:r>
            <w:proofErr w:type="spellStart"/>
            <w:r w:rsidRPr="0078377F">
              <w:rPr>
                <w:rFonts w:ascii="MS Reference Sans Serif" w:hAnsi="MS Reference Sans Serif"/>
                <w:szCs w:val="20"/>
              </w:rPr>
              <w:t>аноксичные</w:t>
            </w:r>
            <w:proofErr w:type="spellEnd"/>
            <w:r w:rsidRPr="0078377F">
              <w:rPr>
                <w:rFonts w:ascii="MS Reference Sans Serif" w:hAnsi="MS Reference Sans Serif"/>
                <w:szCs w:val="20"/>
              </w:rPr>
              <w:t xml:space="preserve"> резервуары, обработка промышленных отходов и т. п.)</w:t>
            </w:r>
          </w:p>
        </w:tc>
        <w:tc>
          <w:tcPr>
            <w:tcW w:w="4111" w:type="dxa"/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bottom w:val="single" w:sz="4" w:space="0" w:color="auto"/>
            </w:tcBorders>
          </w:tcPr>
          <w:p w:rsidR="00C0096B" w:rsidRPr="0078377F" w:rsidRDefault="00C0096B" w:rsidP="00232168">
            <w:pPr>
              <w:pStyle w:val="1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Назначение мешалки</w:t>
            </w:r>
          </w:p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(взмучивание взвеси, смешение пото</w:t>
            </w:r>
            <w:r w:rsidRPr="0078377F">
              <w:rPr>
                <w:rFonts w:ascii="MS Reference Sans Serif" w:hAnsi="MS Reference Sans Serif"/>
                <w:szCs w:val="20"/>
              </w:rPr>
              <w:softHyphen/>
              <w:t xml:space="preserve">ков, </w:t>
            </w:r>
            <w:proofErr w:type="spellStart"/>
            <w:r w:rsidRPr="0078377F">
              <w:rPr>
                <w:rFonts w:ascii="MS Reference Sans Serif" w:hAnsi="MS Reference Sans Serif"/>
                <w:szCs w:val="20"/>
              </w:rPr>
              <w:t>гомогенезация</w:t>
            </w:r>
            <w:proofErr w:type="spellEnd"/>
            <w:r w:rsidRPr="0078377F">
              <w:rPr>
                <w:rFonts w:ascii="MS Reference Sans Serif" w:hAnsi="MS Reference Sans Serif"/>
                <w:szCs w:val="20"/>
              </w:rPr>
              <w:t xml:space="preserve"> систем и т. п.)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bottom w:val="nil"/>
            </w:tcBorders>
          </w:tcPr>
          <w:p w:rsidR="00C0096B" w:rsidRPr="0078377F" w:rsidRDefault="00C0096B" w:rsidP="00232168">
            <w:pPr>
              <w:pStyle w:val="a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Наличие предварительной обработки перемешиваемой среды</w:t>
            </w:r>
          </w:p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(процеживание, отстаивание сточных вод, кондиционирование осадков и т. п.)</w:t>
            </w:r>
          </w:p>
        </w:tc>
        <w:tc>
          <w:tcPr>
            <w:tcW w:w="4111" w:type="dxa"/>
            <w:tcBorders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Характеристика перемешиваемой среды:</w:t>
            </w:r>
          </w:p>
        </w:tc>
        <w:tc>
          <w:tcPr>
            <w:tcW w:w="4111" w:type="dxa"/>
            <w:tcBorders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 xml:space="preserve">- 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  <w:lang w:val="en-US"/>
              </w:rPr>
              <w:t>PH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-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 xml:space="preserve">- Температура, 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ym w:font="Symbol" w:char="F0B0"/>
            </w:r>
            <w:r w:rsidRPr="0078377F">
              <w:rPr>
                <w:rFonts w:ascii="MS Reference Sans Serif" w:hAnsi="MS Reference Sans Serif"/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-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- Концентрация взвешенных веществ (ила), мг/л (г/л)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-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- Влажность осадка, %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-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- Другие характеристики по усмотре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нию заказчика</w:t>
            </w:r>
            <w:r w:rsidRPr="0078377F">
              <w:rPr>
                <w:rFonts w:ascii="MS Reference Sans Serif" w:hAnsi="MS Reference Sans Serif"/>
                <w:szCs w:val="20"/>
              </w:rPr>
              <w:t xml:space="preserve"> (например, грануломет</w:t>
            </w:r>
            <w:r w:rsidRPr="0078377F">
              <w:rPr>
                <w:rFonts w:ascii="MS Reference Sans Serif" w:hAnsi="MS Reference Sans Serif"/>
                <w:szCs w:val="20"/>
              </w:rPr>
              <w:softHyphen/>
              <w:t>рический состав)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-</w:t>
            </w: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C0096B" w:rsidRPr="0078377F" w:rsidRDefault="00C0096B" w:rsidP="00232168">
            <w:pPr>
              <w:pStyle w:val="1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Форма резервуара</w:t>
            </w:r>
          </w:p>
          <w:p w:rsidR="00C0096B" w:rsidRPr="0078377F" w:rsidRDefault="00C0096B" w:rsidP="00C0096B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>(круглая, прямоугольная, циркуляцион</w:t>
            </w:r>
            <w:r w:rsidRPr="0078377F">
              <w:rPr>
                <w:rFonts w:ascii="MS Reference Sans Serif" w:hAnsi="MS Reference Sans Serif"/>
                <w:szCs w:val="20"/>
              </w:rPr>
              <w:softHyphen/>
              <w:t xml:space="preserve">ный канал и т. п.) 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с приложением эс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кизного чертежа с размерами и ука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занием местоположения подводов, отводов, распределения потоков, пе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регородок, стенок и других струена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правляющих элементов</w:t>
            </w:r>
          </w:p>
        </w:tc>
        <w:tc>
          <w:tcPr>
            <w:tcW w:w="4111" w:type="dxa"/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b/>
                <w:bCs/>
                <w:szCs w:val="20"/>
              </w:rPr>
            </w:pP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Тип, размеры аэраторов, плотность их размещения, эскизный чертеж ус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тановки аэраторов в плане и по вы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softHyphen/>
              <w:t>соте резервуара</w:t>
            </w:r>
          </w:p>
        </w:tc>
        <w:tc>
          <w:tcPr>
            <w:tcW w:w="4111" w:type="dxa"/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C0096B" w:rsidRPr="0078377F" w:rsidRDefault="00C0096B" w:rsidP="00232168">
            <w:pPr>
              <w:pStyle w:val="1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Расходы потоков в резервуаре</w:t>
            </w:r>
          </w:p>
          <w:p w:rsidR="00C0096B" w:rsidRPr="0078377F" w:rsidRDefault="00C0096B" w:rsidP="00232168">
            <w:pPr>
              <w:jc w:val="both"/>
              <w:rPr>
                <w:rFonts w:ascii="MS Reference Sans Serif" w:hAnsi="MS Reference Sans Serif"/>
                <w:szCs w:val="20"/>
              </w:rPr>
            </w:pPr>
            <w:r w:rsidRPr="0078377F">
              <w:rPr>
                <w:rFonts w:ascii="MS Reference Sans Serif" w:hAnsi="MS Reference Sans Serif"/>
                <w:szCs w:val="20"/>
              </w:rPr>
              <w:t xml:space="preserve">(поступающих, циркулирующих и т. п.), 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м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  <w:vertAlign w:val="superscript"/>
              </w:rPr>
              <w:t>3</w:t>
            </w:r>
            <w:r w:rsidRPr="0078377F">
              <w:rPr>
                <w:rFonts w:ascii="MS Reference Sans Serif" w:hAnsi="MS Reference Sans Serif"/>
                <w:b/>
                <w:bCs/>
                <w:szCs w:val="20"/>
              </w:rPr>
              <w:t>/с</w:t>
            </w:r>
          </w:p>
        </w:tc>
        <w:tc>
          <w:tcPr>
            <w:tcW w:w="4111" w:type="dxa"/>
          </w:tcPr>
          <w:p w:rsidR="00C0096B" w:rsidRPr="0078377F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  <w:tr w:rsidR="00C0096B" w:rsidRPr="0078377F" w:rsidTr="0078377F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C0096B" w:rsidRPr="0078377F" w:rsidRDefault="00C0096B" w:rsidP="00C0096B">
            <w:pPr>
              <w:pStyle w:val="1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8377F">
              <w:rPr>
                <w:rFonts w:ascii="MS Reference Sans Serif" w:hAnsi="MS Reference Sans Serif"/>
                <w:sz w:val="20"/>
                <w:szCs w:val="20"/>
              </w:rPr>
              <w:t>Дополнительные сведения по усмот</w:t>
            </w:r>
            <w:r w:rsidRPr="0078377F">
              <w:rPr>
                <w:rFonts w:ascii="MS Reference Sans Serif" w:hAnsi="MS Reference Sans Serif"/>
                <w:sz w:val="20"/>
                <w:szCs w:val="20"/>
              </w:rPr>
              <w:softHyphen/>
              <w:t>рению заказчика</w:t>
            </w:r>
          </w:p>
          <w:p w:rsidR="00C0096B" w:rsidRPr="0078377F" w:rsidRDefault="00C0096B" w:rsidP="00C0096B">
            <w:pPr>
              <w:rPr>
                <w:rFonts w:ascii="MS Reference Sans Serif" w:hAnsi="MS Reference Sans Serif"/>
                <w:szCs w:val="20"/>
                <w:lang w:eastAsia="ru-RU"/>
              </w:rPr>
            </w:pPr>
          </w:p>
          <w:p w:rsidR="00C0096B" w:rsidRPr="0078377F" w:rsidRDefault="00C0096B" w:rsidP="00C0096B">
            <w:pPr>
              <w:rPr>
                <w:rFonts w:ascii="MS Reference Sans Serif" w:hAnsi="MS Reference Sans Serif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0096B" w:rsidRDefault="00C0096B" w:rsidP="00232168">
            <w:pPr>
              <w:rPr>
                <w:rFonts w:ascii="MS Reference Sans Serif" w:hAnsi="MS Reference Sans Serif"/>
                <w:szCs w:val="20"/>
              </w:rPr>
            </w:pPr>
          </w:p>
          <w:p w:rsidR="00EF79CC" w:rsidRDefault="00EF79CC" w:rsidP="00232168">
            <w:pPr>
              <w:rPr>
                <w:rFonts w:ascii="MS Reference Sans Serif" w:hAnsi="MS Reference Sans Serif"/>
                <w:szCs w:val="20"/>
              </w:rPr>
            </w:pPr>
          </w:p>
          <w:p w:rsidR="00EF79CC" w:rsidRDefault="00EF79CC" w:rsidP="00232168">
            <w:pPr>
              <w:rPr>
                <w:rFonts w:ascii="MS Reference Sans Serif" w:hAnsi="MS Reference Sans Serif"/>
                <w:szCs w:val="20"/>
              </w:rPr>
            </w:pPr>
          </w:p>
          <w:p w:rsidR="00EF79CC" w:rsidRDefault="00EF79CC" w:rsidP="00232168">
            <w:pPr>
              <w:rPr>
                <w:rFonts w:ascii="MS Reference Sans Serif" w:hAnsi="MS Reference Sans Serif"/>
                <w:szCs w:val="20"/>
              </w:rPr>
            </w:pPr>
          </w:p>
          <w:p w:rsidR="00EF79CC" w:rsidRDefault="00EF79CC" w:rsidP="00232168">
            <w:pPr>
              <w:rPr>
                <w:rFonts w:ascii="MS Reference Sans Serif" w:hAnsi="MS Reference Sans Serif"/>
                <w:szCs w:val="20"/>
              </w:rPr>
            </w:pPr>
          </w:p>
          <w:p w:rsidR="00EF79CC" w:rsidRPr="0078377F" w:rsidRDefault="00EF79CC" w:rsidP="00232168">
            <w:pPr>
              <w:rPr>
                <w:rFonts w:ascii="MS Reference Sans Serif" w:hAnsi="MS Reference Sans Serif"/>
                <w:szCs w:val="20"/>
              </w:rPr>
            </w:pPr>
          </w:p>
        </w:tc>
      </w:tr>
    </w:tbl>
    <w:p w:rsidR="006D6779" w:rsidRPr="0078377F" w:rsidRDefault="006D6779" w:rsidP="00C0096B">
      <w:pPr>
        <w:rPr>
          <w:rFonts w:ascii="MS Reference Sans Serif" w:hAnsi="MS Reference Sans Serif"/>
          <w:szCs w:val="20"/>
        </w:rPr>
      </w:pPr>
    </w:p>
    <w:sectPr w:rsidR="006D6779" w:rsidRPr="0078377F" w:rsidSect="00B2146D">
      <w:headerReference w:type="default" r:id="rId6"/>
      <w:pgSz w:w="11906" w:h="16838"/>
      <w:pgMar w:top="340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2F" w:rsidRDefault="006E7D2F" w:rsidP="00B2146D">
      <w:r>
        <w:separator/>
      </w:r>
    </w:p>
  </w:endnote>
  <w:endnote w:type="continuationSeparator" w:id="0">
    <w:p w:rsidR="006E7D2F" w:rsidRDefault="006E7D2F" w:rsidP="00B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2F" w:rsidRDefault="006E7D2F" w:rsidP="00B2146D">
      <w:r>
        <w:separator/>
      </w:r>
    </w:p>
  </w:footnote>
  <w:footnote w:type="continuationSeparator" w:id="0">
    <w:p w:rsidR="006E7D2F" w:rsidRDefault="006E7D2F" w:rsidP="00B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6D" w:rsidRDefault="00B2146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-850798</wp:posOffset>
          </wp:positionH>
          <wp:positionV relativeFrom="paragraph">
            <wp:posOffset>-516255</wp:posOffset>
          </wp:positionV>
          <wp:extent cx="7686675" cy="10812288"/>
          <wp:effectExtent l="0" t="0" r="0" b="825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 7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081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D"/>
    <w:rsid w:val="00217465"/>
    <w:rsid w:val="003464C4"/>
    <w:rsid w:val="006D6779"/>
    <w:rsid w:val="006E7D2F"/>
    <w:rsid w:val="006F6AAA"/>
    <w:rsid w:val="0078377F"/>
    <w:rsid w:val="00AE7293"/>
    <w:rsid w:val="00B2146D"/>
    <w:rsid w:val="00C0096B"/>
    <w:rsid w:val="00E54093"/>
    <w:rsid w:val="00EF79CC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8DDB"/>
  <w15:chartTrackingRefBased/>
  <w15:docId w15:val="{F0DBD67C-C360-4916-878D-D529E6C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C5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096B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46D"/>
  </w:style>
  <w:style w:type="paragraph" w:styleId="a5">
    <w:name w:val="footer"/>
    <w:basedOn w:val="a"/>
    <w:link w:val="a6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46D"/>
  </w:style>
  <w:style w:type="character" w:customStyle="1" w:styleId="10">
    <w:name w:val="Заголовок 1 Знак"/>
    <w:basedOn w:val="a0"/>
    <w:link w:val="1"/>
    <w:rsid w:val="00C00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0096B"/>
    <w:pPr>
      <w:widowControl/>
      <w:suppressAutoHyphens w:val="0"/>
    </w:pPr>
    <w:rPr>
      <w:rFonts w:ascii="Times New Roman" w:eastAsia="Times New Roman" w:hAnsi="Times New Roman" w:cs="Times New Roman"/>
      <w:b/>
      <w:bCs/>
      <w:kern w:val="0"/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C00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Sergey Titov</cp:lastModifiedBy>
  <cp:revision>5</cp:revision>
  <dcterms:created xsi:type="dcterms:W3CDTF">2016-07-19T10:06:00Z</dcterms:created>
  <dcterms:modified xsi:type="dcterms:W3CDTF">2021-06-13T18:57:00Z</dcterms:modified>
</cp:coreProperties>
</file>